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4"/>
        <w:tabs>
          <w:tab w:val="left" w:pos="2520"/>
        </w:tabs>
        <w:spacing w:line="500" w:lineRule="exact"/>
        <w:rPr>
          <w:rFonts w:hAnsi="宋体" w:cs="宋体"/>
          <w:sz w:val="28"/>
          <w:szCs w:val="28"/>
        </w:rPr>
      </w:pPr>
    </w:p>
    <w:p>
      <w:pPr>
        <w:pStyle w:val="4"/>
        <w:tabs>
          <w:tab w:val="left" w:pos="2520"/>
        </w:tabs>
        <w:spacing w:line="500" w:lineRule="exact"/>
        <w:jc w:val="center"/>
        <w:rPr>
          <w:rFonts w:hAnsi="宋体" w:cs="宋体"/>
          <w:spacing w:val="14"/>
          <w:sz w:val="48"/>
          <w:szCs w:val="48"/>
        </w:rPr>
      </w:pPr>
    </w:p>
    <w:p>
      <w:pPr>
        <w:pStyle w:val="4"/>
        <w:tabs>
          <w:tab w:val="left" w:pos="2520"/>
        </w:tabs>
        <w:spacing w:line="900" w:lineRule="exact"/>
        <w:jc w:val="center"/>
        <w:rPr>
          <w:rFonts w:hAnsi="宋体" w:cs="宋体"/>
          <w:b/>
          <w:sz w:val="84"/>
          <w:szCs w:val="84"/>
        </w:rPr>
      </w:pPr>
      <w:r>
        <w:rPr>
          <w:rFonts w:hint="eastAsia" w:ascii="宋体" w:hAnsi="宋体" w:cs="宋体"/>
          <w:b/>
          <w:bCs/>
          <w:color w:val="000000"/>
          <w:kern w:val="0"/>
          <w:sz w:val="84"/>
          <w:szCs w:val="84"/>
        </w:rPr>
        <w:t>竞争性谈判文件</w:t>
      </w:r>
    </w:p>
    <w:p>
      <w:pPr>
        <w:pStyle w:val="4"/>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723" w:firstLineChars="200"/>
        <w:rPr>
          <w:rFonts w:hint="default" w:ascii="宋体" w:hAnsi="宋体" w:eastAsia="宋体" w:cs="宋体"/>
          <w:b/>
          <w:sz w:val="36"/>
          <w:szCs w:val="36"/>
          <w:lang w:val="en-US" w:eastAsia="zh-CN"/>
        </w:rPr>
      </w:pPr>
      <w:r>
        <w:rPr>
          <w:rFonts w:hint="eastAsia" w:ascii="宋体" w:hAnsi="宋体" w:cs="宋体"/>
          <w:b/>
          <w:sz w:val="36"/>
          <w:szCs w:val="36"/>
        </w:rPr>
        <w:t>项目名称：黄石市中心医院停车系统维保</w:t>
      </w:r>
      <w:r>
        <w:rPr>
          <w:rFonts w:hint="eastAsia" w:ascii="宋体" w:hAnsi="宋体" w:cs="宋体"/>
          <w:b/>
          <w:sz w:val="36"/>
          <w:szCs w:val="36"/>
          <w:lang w:val="en-US" w:eastAsia="zh-CN"/>
        </w:rPr>
        <w:t>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9"/>
        <w:rPr>
          <w:rFonts w:ascii="宋体" w:hAnsi="宋体" w:cs="宋体"/>
        </w:rPr>
      </w:pPr>
      <w:bookmarkStart w:id="0" w:name="_Toc528493163"/>
      <w:bookmarkStart w:id="1" w:name="_Toc528493563"/>
      <w:bookmarkStart w:id="2" w:name="_Toc528493130"/>
      <w:bookmarkStart w:id="3" w:name="_Toc528494262"/>
      <w:bookmarkStart w:id="4" w:name="_Toc528493082"/>
      <w:r>
        <w:rPr>
          <w:rFonts w:hint="eastAsia" w:ascii="宋体" w:hAnsi="宋体" w:cs="宋体"/>
        </w:rPr>
        <w:t xml:space="preserve">第一章  </w:t>
      </w:r>
      <w:r>
        <w:rPr>
          <w:rFonts w:hint="eastAsia" w:ascii="宋体" w:hAnsi="宋体" w:cs="宋体"/>
          <w:lang w:val="en-US" w:eastAsia="zh-CN"/>
        </w:rPr>
        <w:t>谈判</w:t>
      </w:r>
      <w:r>
        <w:rPr>
          <w:rFonts w:hint="eastAsia" w:ascii="宋体" w:hAnsi="宋体" w:cs="宋体"/>
        </w:rPr>
        <w:t>邀请函</w:t>
      </w:r>
      <w:bookmarkEnd w:id="0"/>
      <w:bookmarkEnd w:id="1"/>
      <w:bookmarkEnd w:id="2"/>
      <w:bookmarkEnd w:id="3"/>
      <w:bookmarkEnd w:id="4"/>
      <w:bookmarkStart w:id="5" w:name="_Toc28359080"/>
      <w:bookmarkStart w:id="6" w:name="_Toc28359003"/>
      <w:bookmarkStart w:id="7" w:name="_Toc35393622"/>
      <w:bookmarkStart w:id="8" w:name="_Toc35393791"/>
    </w:p>
    <w:p>
      <w:pPr>
        <w:pStyle w:val="9"/>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根据黄石市中心医院的需求，就黄石市中心医院停车系统维保</w:t>
      </w:r>
      <w:r>
        <w:rPr>
          <w:rFonts w:hint="eastAsia" w:ascii="宋体" w:hAnsi="宋体" w:cs="宋体"/>
          <w:b w:val="0"/>
          <w:bCs w:val="0"/>
          <w:sz w:val="24"/>
          <w:szCs w:val="20"/>
          <w:lang w:val="zh-CN" w:eastAsia="zh-CN"/>
        </w:rPr>
        <w:t>采购项目</w:t>
      </w:r>
      <w:r>
        <w:rPr>
          <w:rFonts w:hint="eastAsia" w:ascii="宋体" w:hAnsi="宋体" w:cs="宋体"/>
          <w:b w:val="0"/>
          <w:bCs w:val="0"/>
          <w:sz w:val="24"/>
          <w:lang w:val="zh-CN"/>
        </w:rPr>
        <w:t>以竞争性</w:t>
      </w:r>
      <w:r>
        <w:rPr>
          <w:rFonts w:hint="eastAsia" w:ascii="宋体" w:hAnsi="宋体" w:cs="宋体"/>
          <w:b w:val="0"/>
          <w:bCs w:val="0"/>
          <w:sz w:val="24"/>
          <w:lang w:val="en-US" w:eastAsia="zh-CN"/>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623"/>
      <w:bookmarkStart w:id="10" w:name="_Toc28359081"/>
      <w:bookmarkStart w:id="11" w:name="_Toc28359004"/>
      <w:bookmarkStart w:id="12" w:name="_Toc35393792"/>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项目名称：黄石市中心医院停车系统维保</w:t>
      </w:r>
      <w:r>
        <w:rPr>
          <w:rFonts w:hint="eastAsia" w:ascii="宋体" w:hAnsi="宋体" w:cs="宋体"/>
          <w:sz w:val="24"/>
          <w:lang w:val="en-US" w:eastAsia="zh-CN"/>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3</w:t>
      </w:r>
      <w:r>
        <w:rPr>
          <w:rFonts w:hint="eastAsia" w:ascii="宋体" w:hAnsi="宋体" w:cs="宋体"/>
          <w:sz w:val="24"/>
        </w:rPr>
        <w:t>万元</w:t>
      </w:r>
      <w:r>
        <w:rPr>
          <w:rFonts w:hint="eastAsia" w:ascii="宋体" w:hAnsi="宋体" w:cs="宋体"/>
          <w:sz w:val="24"/>
          <w:lang w:val="en-US" w:eastAsia="zh-CN"/>
        </w:rPr>
        <w:t>/年</w:t>
      </w: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服务期</w:t>
      </w:r>
      <w:r>
        <w:rPr>
          <w:rFonts w:hint="eastAsia" w:ascii="宋体" w:hAnsi="宋体" w:cs="宋体"/>
          <w:sz w:val="24"/>
        </w:rPr>
        <w:t>：</w:t>
      </w:r>
      <w:r>
        <w:rPr>
          <w:rFonts w:hint="eastAsia" w:ascii="宋体" w:hAnsi="宋体" w:cs="宋体"/>
          <w:sz w:val="24"/>
          <w:lang w:val="en-US" w:eastAsia="zh-CN"/>
        </w:rPr>
        <w:t>3年</w:t>
      </w:r>
    </w:p>
    <w:p>
      <w:pPr>
        <w:spacing w:line="420" w:lineRule="exact"/>
        <w:ind w:firstLine="480" w:firstLineChars="200"/>
        <w:rPr>
          <w:rFonts w:ascii="宋体" w:hAnsi="宋体" w:cs="宋体"/>
          <w:sz w:val="24"/>
          <w:szCs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服务</w:t>
      </w:r>
      <w:r>
        <w:rPr>
          <w:rFonts w:hint="eastAsia" w:ascii="宋体" w:hAnsi="宋体" w:cs="宋体"/>
          <w:sz w:val="24"/>
          <w:szCs w:val="24"/>
        </w:rPr>
        <w:t>地点：黄石市中心医院指定地点</w:t>
      </w:r>
    </w:p>
    <w:p>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hint="eastAsia"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28359084"/>
      <w:bookmarkStart w:id="15" w:name="_Toc28359007"/>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hint="eastAsia" w:ascii="宋体" w:hAnsi="宋体" w:cs="宋体"/>
          <w:sz w:val="24"/>
          <w:highlight w:val="yellow"/>
        </w:rPr>
        <w:t>：</w:t>
      </w:r>
      <w:r>
        <w:rPr>
          <w:rFonts w:ascii="宋体" w:hAnsi="宋体" w:cs="宋体"/>
          <w:sz w:val="24"/>
          <w:highlight w:val="yellow"/>
        </w:rPr>
        <w:t>202</w:t>
      </w:r>
      <w:r>
        <w:rPr>
          <w:rFonts w:hint="eastAsia" w:ascii="宋体" w:hAnsi="宋体" w:cs="宋体"/>
          <w:sz w:val="24"/>
          <w:highlight w:val="yellow"/>
        </w:rPr>
        <w:t>4</w:t>
      </w:r>
      <w:r>
        <w:rPr>
          <w:rFonts w:ascii="宋体" w:hAnsi="宋体" w:cs="宋体"/>
          <w:sz w:val="24"/>
          <w:highlight w:val="yellow"/>
        </w:rPr>
        <w:t>年</w:t>
      </w:r>
      <w:r>
        <w:rPr>
          <w:rFonts w:hint="eastAsia" w:ascii="宋体" w:hAnsi="宋体" w:cs="宋体"/>
          <w:sz w:val="24"/>
          <w:highlight w:val="yellow"/>
          <w:lang w:val="en-US" w:eastAsia="zh-CN"/>
        </w:rPr>
        <w:t>4</w:t>
      </w:r>
      <w:r>
        <w:rPr>
          <w:rFonts w:ascii="宋体" w:hAnsi="宋体" w:cs="宋体"/>
          <w:sz w:val="24"/>
          <w:highlight w:val="yellow"/>
        </w:rPr>
        <w:t>月</w:t>
      </w:r>
      <w:r>
        <w:rPr>
          <w:rFonts w:hint="eastAsia" w:ascii="宋体" w:hAnsi="宋体" w:cs="宋体"/>
          <w:sz w:val="24"/>
          <w:highlight w:val="yellow"/>
          <w:lang w:val="en-US" w:eastAsia="zh-CN"/>
        </w:rPr>
        <w:t>1</w:t>
      </w:r>
      <w:r>
        <w:rPr>
          <w:rFonts w:ascii="宋体" w:hAnsi="宋体" w:cs="宋体"/>
          <w:sz w:val="24"/>
          <w:highlight w:val="yellow"/>
        </w:rPr>
        <w:t>日</w:t>
      </w:r>
      <w:r>
        <w:rPr>
          <w:rFonts w:hint="eastAsia" w:ascii="宋体" w:hAnsi="宋体" w:cs="宋体"/>
          <w:sz w:val="24"/>
          <w:highlight w:val="yellow"/>
        </w:rPr>
        <w:t>-</w:t>
      </w:r>
      <w:r>
        <w:rPr>
          <w:rFonts w:ascii="宋体" w:hAnsi="宋体" w:cs="宋体"/>
          <w:sz w:val="24"/>
          <w:highlight w:val="yellow"/>
        </w:rPr>
        <w:t>20</w:t>
      </w:r>
      <w:r>
        <w:rPr>
          <w:rFonts w:hint="eastAsia" w:ascii="宋体" w:hAnsi="宋体" w:cs="宋体"/>
          <w:sz w:val="24"/>
          <w:highlight w:val="yellow"/>
        </w:rPr>
        <w:t>24年</w:t>
      </w:r>
      <w:r>
        <w:rPr>
          <w:rFonts w:hint="eastAsia" w:ascii="宋体" w:hAnsi="宋体" w:cs="宋体"/>
          <w:sz w:val="24"/>
          <w:highlight w:val="yellow"/>
          <w:lang w:val="en-US" w:eastAsia="zh-CN"/>
        </w:rPr>
        <w:t>4</w:t>
      </w:r>
      <w:r>
        <w:rPr>
          <w:rFonts w:hint="eastAsia" w:ascii="宋体" w:hAnsi="宋体" w:cs="宋体"/>
          <w:sz w:val="24"/>
          <w:highlight w:val="yellow"/>
        </w:rPr>
        <w:t>月</w:t>
      </w:r>
      <w:r>
        <w:rPr>
          <w:rFonts w:hint="eastAsia" w:ascii="宋体" w:hAnsi="宋体" w:cs="宋体"/>
          <w:sz w:val="24"/>
          <w:highlight w:val="yellow"/>
          <w:lang w:val="en-US" w:eastAsia="zh-CN"/>
        </w:rPr>
        <w:t>8</w:t>
      </w:r>
      <w:bookmarkStart w:id="139" w:name="_GoBack"/>
      <w:bookmarkEnd w:id="139"/>
      <w:r>
        <w:rPr>
          <w:rFonts w:hint="eastAsia" w:ascii="宋体" w:hAnsi="宋体" w:cs="宋体"/>
          <w:sz w:val="24"/>
          <w:highlight w:val="yellow"/>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w:t>
      </w:r>
      <w:r>
        <w:rPr>
          <w:rFonts w:hint="eastAsia" w:ascii="宋体" w:hAnsi="宋体" w:cs="宋体"/>
          <w:sz w:val="24"/>
          <w:lang w:val="en-US" w:eastAsia="zh-CN"/>
        </w:rPr>
        <w:t>谈判</w:t>
      </w:r>
      <w:r>
        <w:rPr>
          <w:rFonts w:hint="eastAsia" w:ascii="宋体" w:hAnsi="宋体" w:cs="宋体"/>
          <w:sz w:val="24"/>
        </w:rPr>
        <w:t>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083"/>
      <w:bookmarkStart w:id="18" w:name="_Toc528493576"/>
      <w:bookmarkStart w:id="19" w:name="_Toc528494275"/>
      <w:bookmarkStart w:id="20" w:name="_Toc528493131"/>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报名成功后</w:t>
      </w:r>
      <w:r>
        <w:rPr>
          <w:rFonts w:hint="eastAsia" w:ascii="宋体" w:hAnsi="宋体" w:cs="宋体"/>
          <w:sz w:val="24"/>
        </w:rPr>
        <w:t>另行通知</w:t>
      </w:r>
    </w:p>
    <w:p>
      <w:pPr>
        <w:spacing w:line="420" w:lineRule="exact"/>
        <w:ind w:firstLine="420" w:firstLineChars="200"/>
        <w:rPr>
          <w:rFonts w:ascii="宋体" w:hAnsi="宋体" w:cs="宋体"/>
        </w:rPr>
      </w:pPr>
    </w:p>
    <w:p>
      <w:pPr>
        <w:spacing w:line="420" w:lineRule="exact"/>
        <w:ind w:firstLine="420" w:firstLineChars="200"/>
        <w:rPr>
          <w:rFonts w:ascii="宋体" w:hAnsi="宋体" w:cs="宋体"/>
        </w:rPr>
      </w:pPr>
    </w:p>
    <w:p>
      <w:pPr>
        <w:pStyle w:val="9"/>
        <w:rPr>
          <w:rFonts w:hint="eastAsia" w:ascii="宋体" w:hAnsi="宋体" w:cs="宋体"/>
        </w:rPr>
      </w:pPr>
    </w:p>
    <w:p>
      <w:pPr>
        <w:pStyle w:val="9"/>
        <w:rPr>
          <w:rFonts w:ascii="宋体" w:hAnsi="宋体" w:cs="宋体"/>
        </w:rPr>
      </w:pPr>
      <w:r>
        <w:rPr>
          <w:rFonts w:hint="eastAsia" w:ascii="宋体" w:hAnsi="宋体" w:cs="宋体"/>
        </w:rPr>
        <w:t xml:space="preserve">第二章  </w:t>
      </w:r>
      <w:r>
        <w:rPr>
          <w:rFonts w:hint="eastAsia" w:ascii="宋体" w:hAnsi="宋体"/>
        </w:rPr>
        <w:t>竞争性</w:t>
      </w:r>
      <w:r>
        <w:rPr>
          <w:rFonts w:hint="eastAsia" w:ascii="宋体" w:hAnsi="宋体"/>
          <w:lang w:val="en-US" w:eastAsia="zh-CN"/>
        </w:rPr>
        <w:t>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hint="eastAsia" w:ascii="宋体" w:hAnsi="宋体" w:cs="宋体"/>
          <w:b/>
          <w:kern w:val="0"/>
          <w:sz w:val="24"/>
        </w:rPr>
      </w:pPr>
      <w:bookmarkStart w:id="22" w:name="_Toc46764847"/>
      <w:bookmarkStart w:id="23" w:name="_Toc46744893"/>
      <w:bookmarkStart w:id="24" w:name="_Toc22342"/>
      <w:bookmarkStart w:id="25" w:name="_Toc44855424"/>
      <w:bookmarkStart w:id="26" w:name="_Toc44692118"/>
      <w:bookmarkStart w:id="27" w:name="_Toc528493579"/>
      <w:bookmarkStart w:id="28" w:name="_Toc528493086"/>
      <w:bookmarkStart w:id="29" w:name="_Toc528494285"/>
      <w:bookmarkStart w:id="30" w:name="_Toc528493134"/>
      <w:bookmarkStart w:id="31" w:name="_Toc528493167"/>
      <w:r>
        <w:rPr>
          <w:rFonts w:hint="eastAsia" w:ascii="宋体" w:hAnsi="宋体" w:cs="宋体"/>
          <w:b/>
          <w:kern w:val="0"/>
          <w:sz w:val="24"/>
        </w:rPr>
        <w:t>（一）总则</w:t>
      </w:r>
      <w:bookmarkEnd w:id="22"/>
      <w:bookmarkEnd w:id="23"/>
      <w:bookmarkEnd w:id="24"/>
      <w:bookmarkEnd w:id="25"/>
      <w:bookmarkEnd w:id="26"/>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1.适用范围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2.定义</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4"/>
        <w:spacing w:line="360" w:lineRule="auto"/>
        <w:ind w:firstLine="480" w:firstLineChars="200"/>
        <w:contextualSpacing/>
        <w:rPr>
          <w:rFonts w:hint="eastAsia"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4"/>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4.谈判费用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hint="eastAsia" w:ascii="宋体" w:hAnsi="宋体" w:cs="宋体"/>
          <w:b/>
          <w:kern w:val="0"/>
          <w:sz w:val="24"/>
        </w:rPr>
      </w:pPr>
      <w:bookmarkStart w:id="32" w:name="_Toc456291155"/>
      <w:bookmarkStart w:id="33" w:name="_Toc46744894"/>
      <w:bookmarkStart w:id="34" w:name="_Toc44692119"/>
      <w:bookmarkStart w:id="35" w:name="_Toc456291270"/>
      <w:bookmarkStart w:id="36" w:name="_Toc456291250"/>
      <w:bookmarkStart w:id="37" w:name="_Toc46764848"/>
      <w:bookmarkStart w:id="38" w:name="_Toc456291527"/>
      <w:bookmarkStart w:id="39" w:name="_Toc462487361"/>
      <w:bookmarkStart w:id="40" w:name="_Toc770"/>
      <w:bookmarkStart w:id="41" w:name="_Toc44855425"/>
      <w:bookmarkStart w:id="42" w:name="_Toc456291344"/>
      <w:bookmarkStart w:id="43" w:name="_Toc456291469"/>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3"/>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hint="eastAsia" w:ascii="宋体" w:hAnsi="宋体" w:cs="宋体"/>
          <w:b/>
          <w:kern w:val="0"/>
          <w:sz w:val="24"/>
        </w:rPr>
      </w:pPr>
      <w:bookmarkStart w:id="44" w:name="_Toc25940"/>
      <w:bookmarkStart w:id="45" w:name="_Toc456291470"/>
      <w:bookmarkStart w:id="46" w:name="_Toc456291271"/>
      <w:bookmarkStart w:id="47" w:name="_Toc456291251"/>
      <w:bookmarkStart w:id="48" w:name="_Toc462487362"/>
      <w:bookmarkStart w:id="49" w:name="_Toc44692120"/>
      <w:bookmarkStart w:id="50" w:name="_Toc456291345"/>
      <w:bookmarkStart w:id="51" w:name="_Toc44855426"/>
      <w:bookmarkStart w:id="52" w:name="_Toc456291156"/>
      <w:bookmarkStart w:id="53" w:name="_Toc46764849"/>
      <w:bookmarkStart w:id="54" w:name="_Toc456291528"/>
      <w:bookmarkStart w:id="55" w:name="_Toc46744895"/>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3"/>
        <w:spacing w:line="360" w:lineRule="auto"/>
        <w:ind w:firstLine="480"/>
        <w:rPr>
          <w:rFonts w:hint="eastAsia" w:ascii="宋体" w:hAnsi="宋体" w:cs="宋体"/>
          <w:color w:val="000000"/>
          <w:sz w:val="24"/>
          <w:szCs w:val="24"/>
          <w:highlight w:val="white"/>
        </w:rPr>
      </w:pPr>
      <w:bookmarkStart w:id="56" w:name="_Toc462487363"/>
      <w:bookmarkStart w:id="57" w:name="_Toc456291346"/>
      <w:bookmarkStart w:id="58" w:name="_Toc456291252"/>
      <w:bookmarkStart w:id="59" w:name="_Toc456291272"/>
      <w:bookmarkStart w:id="60" w:name="_Toc456291471"/>
      <w:bookmarkStart w:id="61" w:name="_Toc456291157"/>
      <w:bookmarkStart w:id="62" w:name="_Toc456291529"/>
      <w:r>
        <w:rPr>
          <w:rFonts w:hint="eastAsia" w:ascii="宋体" w:hAnsi="宋体" w:cs="宋体"/>
          <w:color w:val="000000"/>
          <w:sz w:val="24"/>
          <w:szCs w:val="24"/>
          <w:highlight w:val="white"/>
        </w:rPr>
        <w:t>（1）谈判供应商所提供的服务均以人民币报价。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hint="eastAsia" w:ascii="宋体" w:hAnsi="宋体" w:cs="宋体"/>
          <w:b/>
          <w:kern w:val="0"/>
          <w:sz w:val="24"/>
        </w:rPr>
      </w:pPr>
      <w:bookmarkStart w:id="63" w:name="_Toc44855427"/>
      <w:bookmarkStart w:id="64" w:name="_Toc4289"/>
      <w:bookmarkStart w:id="65" w:name="_Toc46744896"/>
      <w:bookmarkStart w:id="66" w:name="_Toc46764850"/>
      <w:bookmarkStart w:id="67" w:name="_Toc44692121"/>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hint="eastAsia" w:ascii="宋体" w:hAnsi="宋体" w:cs="宋体"/>
          <w:b/>
          <w:kern w:val="0"/>
          <w:sz w:val="24"/>
        </w:rPr>
      </w:pPr>
      <w:bookmarkStart w:id="68" w:name="_Toc456291347"/>
      <w:bookmarkStart w:id="69" w:name="_Toc462487364"/>
      <w:bookmarkStart w:id="70" w:name="_Toc44692122"/>
      <w:bookmarkStart w:id="71" w:name="_Toc46744897"/>
      <w:bookmarkStart w:id="72" w:name="_Toc456291273"/>
      <w:bookmarkStart w:id="73" w:name="_Toc456291158"/>
      <w:bookmarkStart w:id="74" w:name="_Toc20094"/>
      <w:bookmarkStart w:id="75" w:name="_Toc456291472"/>
      <w:bookmarkStart w:id="76" w:name="_Toc44855428"/>
      <w:bookmarkStart w:id="77" w:name="_Toc46764851"/>
      <w:bookmarkStart w:id="78" w:name="_Toc456291253"/>
      <w:bookmarkStart w:id="79" w:name="_Toc456291530"/>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3"/>
        <w:spacing w:line="360" w:lineRule="auto"/>
        <w:ind w:firstLine="456"/>
        <w:rPr>
          <w:rFonts w:hint="eastAsia"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3"/>
        <w:spacing w:line="360" w:lineRule="auto"/>
        <w:ind w:firstLine="480"/>
        <w:rPr>
          <w:rFonts w:hint="eastAsia"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hint="eastAsia" w:ascii="宋体" w:hAnsi="宋体" w:cs="宋体"/>
          <w:b/>
          <w:kern w:val="0"/>
          <w:sz w:val="24"/>
        </w:rPr>
      </w:pPr>
      <w:bookmarkStart w:id="80" w:name="_Toc44855429"/>
      <w:bookmarkStart w:id="81" w:name="_Toc46764852"/>
      <w:bookmarkStart w:id="82" w:name="_Toc462487365"/>
      <w:bookmarkStart w:id="83" w:name="_Toc456291348"/>
      <w:bookmarkStart w:id="84" w:name="_Toc44692123"/>
      <w:bookmarkStart w:id="85" w:name="_Toc46744898"/>
      <w:bookmarkStart w:id="86" w:name="_Toc456291473"/>
      <w:bookmarkStart w:id="87" w:name="_Toc28588"/>
      <w:bookmarkStart w:id="88" w:name="_Toc456291531"/>
      <w:bookmarkStart w:id="89" w:name="_Toc456291159"/>
      <w:bookmarkStart w:id="90" w:name="_Toc456291254"/>
      <w:bookmarkStart w:id="91" w:name="_Toc456291274"/>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hint="eastAsia" w:ascii="宋体" w:hAnsi="宋体" w:cs="宋体"/>
          <w:b/>
          <w:kern w:val="0"/>
          <w:sz w:val="24"/>
        </w:rPr>
      </w:pPr>
      <w:bookmarkStart w:id="92" w:name="_Toc46744899"/>
      <w:bookmarkStart w:id="93" w:name="_Toc44692124"/>
      <w:bookmarkStart w:id="94" w:name="_Toc44855430"/>
      <w:bookmarkStart w:id="95" w:name="_Toc46764853"/>
      <w:bookmarkStart w:id="96" w:name="_Toc28067"/>
      <w:r>
        <w:rPr>
          <w:rFonts w:hint="eastAsia" w:ascii="宋体" w:hAnsi="宋体" w:cs="宋体"/>
          <w:b/>
          <w:kern w:val="0"/>
          <w:sz w:val="24"/>
        </w:rPr>
        <w:t>（七）授予合同</w:t>
      </w:r>
      <w:bookmarkEnd w:id="92"/>
      <w:bookmarkEnd w:id="93"/>
      <w:bookmarkEnd w:id="94"/>
      <w:bookmarkEnd w:id="95"/>
      <w:bookmarkEnd w:id="96"/>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hint="eastAsia" w:ascii="宋体" w:hAnsi="宋体" w:cs="宋体"/>
          <w:b/>
          <w:kern w:val="0"/>
          <w:sz w:val="24"/>
        </w:rPr>
      </w:pPr>
      <w:bookmarkStart w:id="97" w:name="_Toc456291533"/>
      <w:bookmarkStart w:id="98" w:name="_Toc456291256"/>
      <w:bookmarkStart w:id="99" w:name="_Toc44692125"/>
      <w:bookmarkStart w:id="100" w:name="_Toc46764854"/>
      <w:bookmarkStart w:id="101" w:name="_Toc456291276"/>
      <w:bookmarkStart w:id="102" w:name="_Toc456291350"/>
      <w:bookmarkStart w:id="103" w:name="_Toc462487367"/>
      <w:bookmarkStart w:id="104" w:name="_Toc44855431"/>
      <w:bookmarkStart w:id="105" w:name="_Toc46744900"/>
      <w:bookmarkStart w:id="106" w:name="_Toc15655"/>
      <w:bookmarkStart w:id="107" w:name="_Toc456291475"/>
      <w:bookmarkStart w:id="108" w:name="_Toc456291161"/>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3"/>
        <w:spacing w:line="360" w:lineRule="auto"/>
        <w:ind w:firstLine="480"/>
        <w:rPr>
          <w:rFonts w:hint="eastAsia"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3"/>
        <w:spacing w:line="360" w:lineRule="auto"/>
        <w:ind w:firstLine="436"/>
        <w:rPr>
          <w:rFonts w:hint="eastAsia"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hint="eastAsia" w:ascii="宋体" w:hAnsi="宋体" w:cs="宋体"/>
          <w:b/>
          <w:kern w:val="0"/>
          <w:sz w:val="24"/>
        </w:rPr>
      </w:pPr>
      <w:bookmarkStart w:id="109" w:name="_Toc456291257"/>
      <w:bookmarkStart w:id="110" w:name="_Toc46744901"/>
      <w:bookmarkStart w:id="111" w:name="_Toc456291351"/>
      <w:bookmarkStart w:id="112" w:name="_Toc456291534"/>
      <w:bookmarkStart w:id="113" w:name="_Toc44855432"/>
      <w:bookmarkStart w:id="114" w:name="_Toc46764855"/>
      <w:bookmarkStart w:id="115" w:name="_Toc462487368"/>
      <w:bookmarkStart w:id="116" w:name="_Toc456291476"/>
      <w:bookmarkStart w:id="117" w:name="_Toc44692126"/>
      <w:bookmarkStart w:id="118" w:name="_Toc456291162"/>
      <w:bookmarkStart w:id="119" w:name="_Toc456291277"/>
      <w:bookmarkStart w:id="120" w:name="_Toc26773"/>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hint="eastAsia" w:ascii="宋体" w:hAnsi="宋体" w:cs="宋体"/>
          <w:b/>
          <w:kern w:val="0"/>
          <w:sz w:val="24"/>
        </w:rPr>
      </w:pPr>
      <w:bookmarkStart w:id="121" w:name="_Toc456291352"/>
      <w:bookmarkStart w:id="122" w:name="_Toc456291163"/>
      <w:bookmarkStart w:id="123" w:name="_Toc44855433"/>
      <w:bookmarkStart w:id="124" w:name="_Toc44692127"/>
      <w:bookmarkStart w:id="125" w:name="_Toc30161"/>
      <w:bookmarkStart w:id="126" w:name="_Toc456291535"/>
      <w:bookmarkStart w:id="127" w:name="_Toc456291278"/>
      <w:bookmarkStart w:id="128" w:name="_Toc456291258"/>
      <w:bookmarkStart w:id="129" w:name="_Toc46764856"/>
      <w:bookmarkStart w:id="130" w:name="_Toc456291477"/>
      <w:bookmarkStart w:id="131" w:name="_Toc462487369"/>
      <w:bookmarkStart w:id="132" w:name="_Toc46744902"/>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3"/>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9"/>
        <w:rPr>
          <w:rFonts w:ascii="宋体" w:hAnsi="宋体" w:cs="宋体"/>
        </w:rPr>
      </w:pPr>
      <w:r>
        <w:rPr>
          <w:rFonts w:hint="eastAsia" w:cs="宋体"/>
          <w:kern w:val="2"/>
        </w:rPr>
        <w:br w:type="page"/>
      </w:r>
      <w:r>
        <w:rPr>
          <w:rFonts w:hint="eastAsia" w:ascii="宋体" w:hAnsi="宋体" w:cs="宋体"/>
        </w:rPr>
        <w:t>第四章  采购项目内容及要求</w:t>
      </w:r>
      <w:bookmarkEnd w:id="27"/>
      <w:bookmarkEnd w:id="28"/>
      <w:bookmarkEnd w:id="29"/>
      <w:bookmarkEnd w:id="30"/>
      <w:bookmarkEnd w:id="31"/>
    </w:p>
    <w:p>
      <w:pPr>
        <w:pStyle w:val="15"/>
        <w:numPr>
          <w:ilvl w:val="0"/>
          <w:numId w:val="0"/>
        </w:numPr>
        <w:spacing w:line="360" w:lineRule="auto"/>
        <w:ind w:leftChars="0"/>
        <w:rPr>
          <w:rFonts w:ascii="宋体" w:cs="宋体"/>
          <w:sz w:val="18"/>
          <w:szCs w:val="18"/>
        </w:rPr>
      </w:pPr>
      <w:r>
        <w:rPr>
          <w:rFonts w:hint="eastAsia" w:ascii="宋体" w:hAnsi="宋体" w:cs="宋体"/>
          <w:b/>
          <w:bCs/>
          <w:sz w:val="24"/>
        </w:rPr>
        <w:t>一、技术规格及要求：</w:t>
      </w:r>
    </w:p>
    <w:p>
      <w:pPr>
        <w:spacing w:line="420" w:lineRule="exact"/>
        <w:rPr>
          <w:rFonts w:hint="eastAsia" w:ascii="宋体" w:hAnsi="宋体" w:cs="宋体"/>
          <w:sz w:val="24"/>
          <w:lang w:val="en-US" w:eastAsia="zh-CN"/>
        </w:rPr>
      </w:pPr>
      <w:bookmarkStart w:id="133" w:name="_Toc528493168"/>
      <w:bookmarkStart w:id="134" w:name="_Hlk18936003"/>
      <w:bookmarkStart w:id="135" w:name="_Toc528493135"/>
      <w:bookmarkStart w:id="136" w:name="_Toc528493580"/>
      <w:bookmarkStart w:id="137" w:name="_Toc528494286"/>
      <w:bookmarkStart w:id="138" w:name="_Toc528493087"/>
      <w:r>
        <w:rPr>
          <w:rFonts w:hint="eastAsia" w:ascii="宋体" w:hAnsi="宋体" w:cs="宋体"/>
          <w:sz w:val="24"/>
        </w:rPr>
        <w:t>项目名称：黄石市中心医院停车系统维保</w:t>
      </w:r>
      <w:r>
        <w:rPr>
          <w:rFonts w:hint="eastAsia" w:ascii="宋体" w:hAnsi="宋体" w:cs="宋体"/>
          <w:sz w:val="24"/>
          <w:lang w:val="en-US" w:eastAsia="zh-CN"/>
        </w:rPr>
        <w:t>采购项目</w:t>
      </w:r>
    </w:p>
    <w:p>
      <w:pPr>
        <w:spacing w:line="420" w:lineRule="exact"/>
        <w:ind w:firstLine="480" w:firstLineChars="200"/>
        <w:rPr>
          <w:rFonts w:hint="eastAsia" w:ascii="宋体" w:hAnsi="宋体" w:cs="宋体"/>
          <w:sz w:val="24"/>
          <w:lang w:val="en-US" w:eastAsia="zh-CN"/>
        </w:rPr>
      </w:pPr>
    </w:p>
    <w:tbl>
      <w:tblPr>
        <w:tblStyle w:val="11"/>
        <w:tblpPr w:leftFromText="180" w:rightFromText="180" w:vertAnchor="page" w:horzAnchor="page" w:tblpX="1751" w:tblpY="331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502"/>
        <w:gridCol w:w="1286"/>
        <w:gridCol w:w="106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60" w:type="dxa"/>
            <w:gridSpan w:val="5"/>
          </w:tcPr>
          <w:p>
            <w:pPr>
              <w:rPr>
                <w:color w:val="000000" w:themeColor="text1"/>
                <w:kern w:val="0"/>
                <w:sz w:val="20"/>
                <w14:textFill>
                  <w14:solidFill>
                    <w14:schemeClr w14:val="tx1"/>
                  </w14:solidFill>
                </w14:textFill>
              </w:rPr>
            </w:pPr>
            <w:r>
              <w:rPr>
                <w:rFonts w:hint="eastAsia" w:ascii="微软雅黑" w:hAnsi="微软雅黑" w:eastAsia="微软雅黑"/>
                <w:b/>
                <w:bCs/>
                <w:color w:val="000000" w:themeColor="text1"/>
                <w:kern w:val="0"/>
                <w:sz w:val="20"/>
                <w:szCs w:val="21"/>
                <w:shd w:val="clear" w:color="auto" w:fill="FFFFFF"/>
                <w14:textFill>
                  <w14:solidFill>
                    <w14:schemeClr w14:val="tx1"/>
                  </w14:solidFill>
                </w14:textFill>
              </w:rPr>
              <w:t>A、正常维护保养项目清单（不含备件以及维修）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41" w:type="dxa"/>
            <w:vAlign w:val="center"/>
          </w:tcPr>
          <w:p>
            <w:pPr>
              <w:jc w:val="center"/>
              <w:rPr>
                <w:rFonts w:ascii="微软雅黑" w:hAnsi="微软雅黑" w:eastAsia="微软雅黑"/>
                <w:color w:val="000000" w:themeColor="text1"/>
                <w:kern w:val="0"/>
                <w:szCs w:val="21"/>
                <w:shd w:val="clear" w:color="auto" w:fill="FFFFFF"/>
                <w14:textFill>
                  <w14:solidFill>
                    <w14:schemeClr w14:val="tx1"/>
                  </w14:solidFill>
                </w14:textFill>
              </w:rPr>
            </w:pPr>
            <w:r>
              <w:rPr>
                <w:rFonts w:hint="eastAsia" w:ascii="微软雅黑" w:hAnsi="微软雅黑" w:eastAsia="微软雅黑"/>
                <w:color w:val="000000" w:themeColor="text1"/>
                <w:kern w:val="0"/>
                <w:szCs w:val="21"/>
                <w:shd w:val="clear" w:color="auto" w:fill="FFFFFF"/>
                <w14:textFill>
                  <w14:solidFill>
                    <w14:schemeClr w14:val="tx1"/>
                  </w14:solidFill>
                </w14:textFill>
              </w:rPr>
              <w:t>序号</w:t>
            </w:r>
          </w:p>
        </w:tc>
        <w:tc>
          <w:tcPr>
            <w:tcW w:w="4502" w:type="dxa"/>
            <w:vAlign w:val="center"/>
          </w:tcPr>
          <w:p>
            <w:pPr>
              <w:jc w:val="center"/>
              <w:rPr>
                <w:rFonts w:ascii="微软雅黑" w:hAnsi="微软雅黑" w:eastAsia="微软雅黑"/>
                <w:color w:val="000000" w:themeColor="text1"/>
                <w:kern w:val="0"/>
                <w:szCs w:val="21"/>
                <w:shd w:val="clear" w:color="auto" w:fill="FFFFFF"/>
                <w14:textFill>
                  <w14:solidFill>
                    <w14:schemeClr w14:val="tx1"/>
                  </w14:solidFill>
                </w14:textFill>
              </w:rPr>
            </w:pPr>
            <w:r>
              <w:rPr>
                <w:rFonts w:hint="eastAsia" w:ascii="微软雅黑" w:hAnsi="微软雅黑" w:eastAsia="微软雅黑"/>
                <w:color w:val="000000" w:themeColor="text1"/>
                <w:kern w:val="0"/>
                <w:szCs w:val="21"/>
                <w:shd w:val="clear" w:color="auto" w:fill="FFFFFF"/>
                <w14:textFill>
                  <w14:solidFill>
                    <w14:schemeClr w14:val="tx1"/>
                  </w14:solidFill>
                </w14:textFill>
              </w:rPr>
              <w:t>设备/清单名称</w:t>
            </w:r>
          </w:p>
        </w:tc>
        <w:tc>
          <w:tcPr>
            <w:tcW w:w="1286" w:type="dxa"/>
            <w:vAlign w:val="center"/>
          </w:tcPr>
          <w:p>
            <w:pPr>
              <w:wordWrap w:val="0"/>
              <w:jc w:val="center"/>
              <w:rPr>
                <w:rFonts w:ascii="微软雅黑" w:hAnsi="微软雅黑" w:eastAsia="微软雅黑"/>
                <w:color w:val="000000" w:themeColor="text1"/>
                <w:kern w:val="0"/>
                <w:szCs w:val="21"/>
                <w:shd w:val="clear" w:color="auto" w:fill="FFFFFF"/>
                <w14:textFill>
                  <w14:solidFill>
                    <w14:schemeClr w14:val="tx1"/>
                  </w14:solidFill>
                </w14:textFill>
              </w:rPr>
            </w:pPr>
            <w:r>
              <w:rPr>
                <w:rFonts w:hint="eastAsia" w:ascii="微软雅黑" w:hAnsi="微软雅黑" w:eastAsia="微软雅黑"/>
                <w:color w:val="000000" w:themeColor="text1"/>
                <w:kern w:val="0"/>
                <w:szCs w:val="21"/>
                <w:shd w:val="clear" w:color="auto" w:fill="FFFFFF"/>
                <w14:textFill>
                  <w14:solidFill>
                    <w14:schemeClr w14:val="tx1"/>
                  </w14:solidFill>
                </w14:textFill>
              </w:rPr>
              <w:t>规格</w:t>
            </w:r>
          </w:p>
        </w:tc>
        <w:tc>
          <w:tcPr>
            <w:tcW w:w="1064" w:type="dxa"/>
          </w:tcPr>
          <w:p>
            <w:pPr>
              <w:wordWrap w:val="0"/>
              <w:jc w:val="center"/>
              <w:rPr>
                <w:rFonts w:ascii="微软雅黑" w:hAnsi="微软雅黑" w:eastAsia="微软雅黑"/>
                <w:color w:val="000000" w:themeColor="text1"/>
                <w:kern w:val="0"/>
                <w:szCs w:val="21"/>
                <w:shd w:val="clear" w:color="auto" w:fill="FFFFFF"/>
                <w14:textFill>
                  <w14:solidFill>
                    <w14:schemeClr w14:val="tx1"/>
                  </w14:solidFill>
                </w14:textFill>
              </w:rPr>
            </w:pPr>
            <w:r>
              <w:rPr>
                <w:rFonts w:hint="eastAsia" w:ascii="微软雅黑" w:hAnsi="微软雅黑" w:eastAsia="微软雅黑"/>
                <w:color w:val="000000" w:themeColor="text1"/>
                <w:kern w:val="0"/>
                <w:szCs w:val="21"/>
                <w:shd w:val="clear" w:color="auto" w:fill="FFFFFF"/>
                <w14:textFill>
                  <w14:solidFill>
                    <w14:schemeClr w14:val="tx1"/>
                  </w14:solidFill>
                </w14:textFill>
              </w:rPr>
              <w:t>数量</w:t>
            </w:r>
          </w:p>
        </w:tc>
        <w:tc>
          <w:tcPr>
            <w:tcW w:w="1067" w:type="dxa"/>
            <w:vAlign w:val="center"/>
          </w:tcPr>
          <w:p>
            <w:pPr>
              <w:wordWrap w:val="0"/>
              <w:jc w:val="center"/>
              <w:rPr>
                <w:rFonts w:ascii="微软雅黑" w:hAnsi="微软雅黑" w:eastAsia="微软雅黑"/>
                <w:color w:val="000000" w:themeColor="text1"/>
                <w:kern w:val="0"/>
                <w:szCs w:val="21"/>
                <w:shd w:val="clear" w:color="auto" w:fill="FFFFFF"/>
                <w14:textFill>
                  <w14:solidFill>
                    <w14:schemeClr w14:val="tx1"/>
                  </w14:solidFill>
                </w14:textFill>
              </w:rPr>
            </w:pPr>
            <w:r>
              <w:rPr>
                <w:rFonts w:hint="eastAsia" w:ascii="微软雅黑" w:hAnsi="微软雅黑" w:eastAsia="微软雅黑"/>
                <w:color w:val="000000" w:themeColor="text1"/>
                <w:kern w:val="0"/>
                <w:szCs w:val="21"/>
                <w:shd w:val="clear" w:color="auto" w:fill="FFFFFF"/>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停车场道闸设备正常维护保养</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2</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停车场车牌识别一体机设备正常维护保养</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Align w:val="center"/>
          </w:tcPr>
          <w:p>
            <w:pPr>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3</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收费电脑日常维护保养</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3</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4</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停车场系统线路日常维护</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5</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停车场本地端软件系统日常维护</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6</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停车场云平台及电子支付系统日常维护</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保养</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60" w:type="dxa"/>
            <w:gridSpan w:val="5"/>
          </w:tcPr>
          <w:p>
            <w:pPr>
              <w:rPr>
                <w:color w:val="000000" w:themeColor="text1"/>
                <w:kern w:val="0"/>
                <w:sz w:val="20"/>
                <w14:textFill>
                  <w14:solidFill>
                    <w14:schemeClr w14:val="tx1"/>
                  </w14:solidFill>
                </w14:textFill>
              </w:rPr>
            </w:pPr>
            <w:r>
              <w:rPr>
                <w:rFonts w:hint="eastAsia" w:ascii="微软雅黑" w:hAnsi="微软雅黑" w:eastAsia="微软雅黑"/>
                <w:b/>
                <w:bCs/>
                <w:color w:val="000000" w:themeColor="text1"/>
                <w:kern w:val="0"/>
                <w:sz w:val="20"/>
                <w:szCs w:val="21"/>
                <w:shd w:val="clear" w:color="auto" w:fill="FFFFFF"/>
                <w14:textFill>
                  <w14:solidFill>
                    <w14:schemeClr w14:val="tx1"/>
                  </w14:solidFill>
                </w14:textFill>
              </w:rPr>
              <w:t>B、提供备件设备清单（人为损坏不在免费更换范围之内）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车辆识别相机（全新备件）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2</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高速道闸</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维修</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3</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道闸控制器</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4</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道闸杆（全新备件）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5</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L</w:t>
            </w:r>
            <w:r>
              <w:rPr>
                <w:rFonts w:asciiTheme="minorHAnsi" w:hAnsiTheme="minorHAnsi" w:eastAsiaTheme="minorEastAsia"/>
                <w:color w:val="000000" w:themeColor="text1"/>
                <w:kern w:val="0"/>
                <w14:textFill>
                  <w14:solidFill>
                    <w14:schemeClr w14:val="tx1"/>
                  </w14:solidFill>
                </w14:textFill>
              </w:rPr>
              <w:t>ED</w:t>
            </w:r>
            <w:r>
              <w:rPr>
                <w:rFonts w:hint="eastAsia" w:asciiTheme="minorHAnsi" w:hAnsiTheme="minorHAnsi" w:eastAsiaTheme="minorEastAsia"/>
                <w:color w:val="000000" w:themeColor="text1"/>
                <w:kern w:val="0"/>
                <w14:textFill>
                  <w14:solidFill>
                    <w14:schemeClr w14:val="tx1"/>
                  </w14:solidFill>
                </w14:textFill>
              </w:rPr>
              <w:t>显示屏（全新备件）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6</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语音模块（全新备件）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7</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L</w:t>
            </w:r>
            <w:r>
              <w:rPr>
                <w:rFonts w:asciiTheme="minorHAnsi" w:hAnsiTheme="minorHAnsi" w:eastAsiaTheme="minorEastAsia"/>
                <w:color w:val="000000" w:themeColor="text1"/>
                <w:kern w:val="0"/>
                <w14:textFill>
                  <w14:solidFill>
                    <w14:schemeClr w14:val="tx1"/>
                  </w14:solidFill>
                </w14:textFill>
              </w:rPr>
              <w:t>ED</w:t>
            </w:r>
            <w:r>
              <w:rPr>
                <w:rFonts w:hint="eastAsia" w:asciiTheme="minorHAnsi" w:hAnsiTheme="minorHAnsi" w:eastAsiaTheme="minorEastAsia"/>
                <w:color w:val="000000" w:themeColor="text1"/>
                <w:kern w:val="0"/>
                <w14:textFill>
                  <w14:solidFill>
                    <w14:schemeClr w14:val="tx1"/>
                  </w14:solidFill>
                </w14:textFill>
              </w:rPr>
              <w:t>补光灯（全新备件）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8</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控制电源（全新备件）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6</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9</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车辆检测器（全新备件）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r>
              <w:rPr>
                <w:color w:val="000000" w:themeColor="text1"/>
                <w:kern w:val="0"/>
                <w:sz w:val="20"/>
                <w14:textFill>
                  <w14:solidFill>
                    <w14:schemeClr w14:val="tx1"/>
                  </w14:solidFill>
                </w14:textFill>
              </w:rPr>
              <w:t>0</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收费电脑配件（全新备件）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r>
              <w:rPr>
                <w:color w:val="000000" w:themeColor="text1"/>
                <w:kern w:val="0"/>
                <w:sz w:val="20"/>
                <w14:textFill>
                  <w14:solidFill>
                    <w14:schemeClr w14:val="tx1"/>
                  </w14:solidFill>
                </w14:textFill>
              </w:rPr>
              <w:t>1</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交换机（全新备件）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r>
              <w:rPr>
                <w:color w:val="000000" w:themeColor="text1"/>
                <w:kern w:val="0"/>
                <w:sz w:val="20"/>
                <w14:textFill>
                  <w14:solidFill>
                    <w14:schemeClr w14:val="tx1"/>
                  </w14:solidFill>
                </w14:textFill>
              </w:rPr>
              <w:t>2</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光纤收发器（全新备件）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asciiTheme="minorHAnsi" w:hAnsiTheme="minorHAnsi" w:eastAsiaTheme="minorEastAsia"/>
                <w:color w:val="000000" w:themeColor="text1"/>
                <w:kern w:val="0"/>
                <w14:textFill>
                  <w14:solidFill>
                    <w14:schemeClr w14:val="tx1"/>
                  </w14:solidFill>
                </w14:textFill>
              </w:rPr>
              <w:t>5</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pPr>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1</w:t>
            </w:r>
            <w:r>
              <w:rPr>
                <w:color w:val="000000" w:themeColor="text1"/>
                <w:kern w:val="0"/>
                <w:sz w:val="20"/>
                <w14:textFill>
                  <w14:solidFill>
                    <w14:schemeClr w14:val="tx1"/>
                  </w14:solidFill>
                </w14:textFill>
              </w:rPr>
              <w:t>3</w:t>
            </w:r>
          </w:p>
        </w:tc>
        <w:tc>
          <w:tcPr>
            <w:tcW w:w="4502" w:type="dxa"/>
            <w:vAlign w:val="center"/>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网络线路（全新备件）</w:t>
            </w:r>
          </w:p>
        </w:tc>
        <w:tc>
          <w:tcPr>
            <w:tcW w:w="1286"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更换</w:t>
            </w:r>
          </w:p>
        </w:tc>
        <w:tc>
          <w:tcPr>
            <w:tcW w:w="1064" w:type="dxa"/>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1</w:t>
            </w:r>
          </w:p>
        </w:tc>
        <w:tc>
          <w:tcPr>
            <w:tcW w:w="1067" w:type="dxa"/>
            <w:vAlign w:val="center"/>
          </w:tcPr>
          <w:p>
            <w:pPr>
              <w:jc w:val="cente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60" w:type="dxa"/>
            <w:gridSpan w:val="5"/>
          </w:tcPr>
          <w:p>
            <w:pPr>
              <w:rPr>
                <w:color w:val="000000" w:themeColor="text1"/>
                <w:kern w:val="0"/>
                <w:sz w:val="20"/>
                <w14:textFill>
                  <w14:solidFill>
                    <w14:schemeClr w14:val="tx1"/>
                  </w14:solidFill>
                </w14:textFill>
              </w:rPr>
            </w:pPr>
            <w:r>
              <w:rPr>
                <w:rFonts w:ascii="微软雅黑" w:hAnsi="微软雅黑" w:eastAsia="微软雅黑"/>
                <w:b/>
                <w:bCs/>
                <w:color w:val="000000" w:themeColor="text1"/>
                <w:kern w:val="0"/>
                <w:sz w:val="20"/>
                <w:szCs w:val="21"/>
                <w:shd w:val="clear" w:color="auto" w:fill="FFFFFF"/>
                <w14:textFill>
                  <w14:solidFill>
                    <w14:schemeClr w14:val="tx1"/>
                  </w14:solidFill>
                </w14:textFill>
              </w:rPr>
              <w:t>C</w:t>
            </w:r>
            <w:r>
              <w:rPr>
                <w:rFonts w:hint="eastAsia" w:ascii="微软雅黑" w:hAnsi="微软雅黑" w:eastAsia="微软雅黑"/>
                <w:b/>
                <w:bCs/>
                <w:color w:val="000000" w:themeColor="text1"/>
                <w:kern w:val="0"/>
                <w:sz w:val="20"/>
                <w:szCs w:val="21"/>
                <w:shd w:val="clear" w:color="auto" w:fill="FFFFFF"/>
                <w14:textFill>
                  <w14:solidFill>
                    <w14:schemeClr w14:val="tx1"/>
                  </w14:solidFill>
                </w14:textFill>
              </w:rPr>
              <w:t>、费用预算：</w:t>
            </w:r>
            <w:r>
              <w:rPr>
                <w:rFonts w:hint="default" w:ascii="微软雅黑" w:hAnsi="微软雅黑" w:eastAsia="微软雅黑"/>
                <w:b/>
                <w:bCs/>
                <w:color w:val="000000" w:themeColor="text1"/>
                <w:kern w:val="0"/>
                <w:sz w:val="20"/>
                <w:szCs w:val="21"/>
                <w:shd w:val="clear" w:color="auto" w:fill="FFFFFF"/>
                <w14:textFill>
                  <w14:solidFill>
                    <w14:schemeClr w14:val="tx1"/>
                  </w14:solidFill>
                </w14:textFill>
              </w:rPr>
              <w:t>30000</w:t>
            </w:r>
            <w:r>
              <w:rPr>
                <w:rFonts w:hint="eastAsia" w:ascii="微软雅黑" w:hAnsi="微软雅黑" w:eastAsia="微软雅黑"/>
                <w:b/>
                <w:bCs/>
                <w:color w:val="000000" w:themeColor="text1"/>
                <w:kern w:val="0"/>
                <w:sz w:val="20"/>
                <w:szCs w:val="21"/>
                <w:shd w:val="clear" w:color="auto" w:fill="FFFFFF"/>
                <w14:textFill>
                  <w14:solidFill>
                    <w14:schemeClr w14:val="tx1"/>
                  </w14:solidFill>
                </w14:textFill>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860" w:type="dxa"/>
            <w:gridSpan w:val="5"/>
          </w:tcPr>
          <w:p>
            <w:pPr>
              <w:rPr>
                <w:rFonts w:asciiTheme="minorHAnsi" w:hAnsiTheme="minorHAnsi" w:eastAsiaTheme="minorEastAsia"/>
                <w:color w:val="000000" w:themeColor="text1"/>
                <w:kern w:val="0"/>
                <w14:textFill>
                  <w14:solidFill>
                    <w14:schemeClr w14:val="tx1"/>
                  </w14:solidFill>
                </w14:textFill>
              </w:rPr>
            </w:pPr>
            <w:r>
              <w:rPr>
                <w:rFonts w:hint="eastAsia" w:asciiTheme="minorHAnsi" w:hAnsiTheme="minorHAnsi" w:eastAsiaTheme="minorEastAsia"/>
                <w:color w:val="000000" w:themeColor="text1"/>
                <w:kern w:val="0"/>
                <w14:textFill>
                  <w14:solidFill>
                    <w14:schemeClr w14:val="tx1"/>
                  </w14:solidFill>
                </w14:textFill>
              </w:rPr>
              <w:t>备注说明：</w:t>
            </w:r>
          </w:p>
          <w:p>
            <w:pPr>
              <w:pStyle w:val="15"/>
              <w:numPr>
                <w:ilvl w:val="0"/>
                <w:numId w:val="1"/>
              </w:numPr>
              <w:ind w:firstLineChars="0"/>
              <w:jc w:val="both"/>
              <w:rPr>
                <w:rFonts w:asciiTheme="minorHAnsi" w:hAnsiTheme="minorHAnsi" w:eastAsiaTheme="minorEastAsia"/>
                <w:color w:val="000000" w:themeColor="text1"/>
                <w:sz w:val="21"/>
                <w14:textFill>
                  <w14:solidFill>
                    <w14:schemeClr w14:val="tx1"/>
                  </w14:solidFill>
                </w14:textFill>
              </w:rPr>
            </w:pPr>
            <w:r>
              <w:rPr>
                <w:rFonts w:hint="eastAsia" w:asciiTheme="minorHAnsi" w:hAnsiTheme="minorHAnsi" w:eastAsiaTheme="minorEastAsia"/>
                <w:color w:val="000000" w:themeColor="text1"/>
                <w:sz w:val="21"/>
                <w14:textFill>
                  <w14:solidFill>
                    <w14:schemeClr w14:val="tx1"/>
                  </w14:solidFill>
                </w14:textFill>
              </w:rPr>
              <w:t>人为或自然灾害等不可抗力造成的系统设备及线路损坏不包含在本方案之列；</w:t>
            </w:r>
          </w:p>
          <w:p>
            <w:pPr>
              <w:pStyle w:val="15"/>
              <w:numPr>
                <w:ilvl w:val="0"/>
                <w:numId w:val="1"/>
              </w:numPr>
              <w:ind w:firstLineChars="0"/>
              <w:jc w:val="both"/>
              <w:rPr>
                <w:rFonts w:asciiTheme="minorHAnsi" w:hAnsiTheme="minorHAnsi" w:eastAsiaTheme="minorEastAsia"/>
                <w:color w:val="000000" w:themeColor="text1"/>
                <w:sz w:val="21"/>
                <w14:textFill>
                  <w14:solidFill>
                    <w14:schemeClr w14:val="tx1"/>
                  </w14:solidFill>
                </w14:textFill>
              </w:rPr>
            </w:pPr>
            <w:r>
              <w:rPr>
                <w:rFonts w:hint="eastAsia" w:asciiTheme="minorHAnsi" w:hAnsiTheme="minorHAnsi" w:eastAsiaTheme="minorEastAsia"/>
                <w:color w:val="000000" w:themeColor="text1"/>
                <w:sz w:val="21"/>
                <w14:textFill>
                  <w14:solidFill>
                    <w14:schemeClr w14:val="tx1"/>
                  </w14:solidFill>
                </w14:textFill>
              </w:rPr>
              <w:t>所更换配件必须与现有停车场收费系统及云平台兼容，如需现勘请与综治办联系；</w:t>
            </w:r>
          </w:p>
          <w:p>
            <w:pPr>
              <w:pStyle w:val="15"/>
              <w:numPr>
                <w:ilvl w:val="0"/>
                <w:numId w:val="1"/>
              </w:numPr>
              <w:ind w:firstLineChars="0"/>
              <w:jc w:val="both"/>
              <w:rPr>
                <w:rFonts w:asciiTheme="minorHAnsi" w:hAnsiTheme="minorHAnsi" w:eastAsiaTheme="minorEastAsia"/>
                <w:color w:val="000000" w:themeColor="text1"/>
                <w:sz w:val="21"/>
                <w14:textFill>
                  <w14:solidFill>
                    <w14:schemeClr w14:val="tx1"/>
                  </w14:solidFill>
                </w14:textFill>
              </w:rPr>
            </w:pPr>
            <w:r>
              <w:rPr>
                <w:rFonts w:hint="eastAsia" w:asciiTheme="minorHAnsi" w:hAnsiTheme="minorHAnsi" w:eastAsiaTheme="minorEastAsia"/>
                <w:color w:val="000000" w:themeColor="text1"/>
                <w:sz w:val="21"/>
                <w14:textFill>
                  <w14:solidFill>
                    <w14:schemeClr w14:val="tx1"/>
                  </w14:solidFill>
                </w14:textFill>
              </w:rPr>
              <w:t>设备发生损坏及需要更换维修不能影响收费系统的正常运行；</w:t>
            </w:r>
          </w:p>
          <w:p>
            <w:pPr>
              <w:pStyle w:val="15"/>
              <w:numPr>
                <w:ilvl w:val="0"/>
                <w:numId w:val="1"/>
              </w:numPr>
              <w:ind w:firstLineChars="0"/>
              <w:jc w:val="both"/>
              <w:rPr>
                <w:rFonts w:asciiTheme="minorHAnsi" w:hAnsiTheme="minorHAnsi" w:eastAsiaTheme="minorEastAsia"/>
                <w:color w:val="000000" w:themeColor="text1"/>
                <w:sz w:val="21"/>
                <w14:textFill>
                  <w14:solidFill>
                    <w14:schemeClr w14:val="tx1"/>
                  </w14:solidFill>
                </w14:textFill>
              </w:rPr>
            </w:pPr>
            <w:r>
              <w:rPr>
                <w:rFonts w:hint="eastAsia" w:asciiTheme="minorHAnsi" w:hAnsiTheme="minorHAnsi" w:eastAsiaTheme="minorEastAsia"/>
                <w:color w:val="000000" w:themeColor="text1"/>
                <w:sz w:val="21"/>
                <w14:textFill>
                  <w14:solidFill>
                    <w14:schemeClr w14:val="tx1"/>
                  </w14:solidFill>
                </w14:textFill>
              </w:rPr>
              <w:t>在合同期内，保证将所有停车场车辆识别一体机更换为全新设备；</w:t>
            </w:r>
          </w:p>
        </w:tc>
      </w:tr>
      <w:bookmarkEnd w:id="133"/>
      <w:bookmarkEnd w:id="134"/>
      <w:bookmarkEnd w:id="135"/>
      <w:bookmarkEnd w:id="136"/>
      <w:bookmarkEnd w:id="137"/>
      <w:bookmarkEnd w:id="138"/>
    </w:tbl>
    <w:p/>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C5EA2"/>
    <w:multiLevelType w:val="multilevel"/>
    <w:tmpl w:val="5BDC5EA2"/>
    <w:lvl w:ilvl="0" w:tentative="0">
      <w:start w:val="1"/>
      <w:numFmt w:val="decimal"/>
      <w:lvlText w:val="%1、"/>
      <w:lvlJc w:val="left"/>
      <w:pPr>
        <w:ind w:left="1410" w:hanging="36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552DD"/>
    <w:rsid w:val="000552DD"/>
    <w:rsid w:val="004C76CF"/>
    <w:rsid w:val="00812C8C"/>
    <w:rsid w:val="00AC7851"/>
    <w:rsid w:val="00B56CB4"/>
    <w:rsid w:val="00E3694C"/>
    <w:rsid w:val="09107AF0"/>
    <w:rsid w:val="13121D70"/>
    <w:rsid w:val="3059366C"/>
    <w:rsid w:val="32B06690"/>
    <w:rsid w:val="46495879"/>
    <w:rsid w:val="4E0A6079"/>
    <w:rsid w:val="62F04A3E"/>
    <w:rsid w:val="71E42A98"/>
    <w:rsid w:val="7692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Plain Text"/>
    <w:basedOn w:val="1"/>
    <w:autoRedefine/>
    <w:qFormat/>
    <w:uiPriority w:val="0"/>
    <w:rPr>
      <w:rFonts w:ascii="宋体" w:hAnsi="Courier New"/>
      <w:szCs w:val="22"/>
    </w:r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autoRedefine/>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autoRedefine/>
    <w:qFormat/>
    <w:uiPriority w:val="0"/>
    <w:pPr>
      <w:widowControl w:val="0"/>
      <w:jc w:val="both"/>
    </w:pPr>
    <w:rPr>
      <w:rFonts w:ascii="等线" w:hAnsi="等线" w:eastAsia="等线" w:cs="Times New Roman"/>
      <w:kern w:val="2"/>
      <w:sz w:val="21"/>
      <w:szCs w:val="24"/>
      <w:lang w:val="en-US" w:eastAsia="zh-CN" w:bidi="ar-SA"/>
    </w:rPr>
  </w:style>
  <w:style w:type="character" w:customStyle="1" w:styleId="14">
    <w:name w:val="副标题 字符"/>
    <w:link w:val="7"/>
    <w:autoRedefine/>
    <w:qFormat/>
    <w:uiPriority w:val="0"/>
    <w:rPr>
      <w:rFonts w:ascii="Cambria" w:hAnsi="Cambria"/>
      <w:b/>
      <w:bCs/>
      <w:kern w:val="28"/>
      <w:sz w:val="32"/>
      <w:szCs w:val="32"/>
    </w:rPr>
  </w:style>
  <w:style w:type="paragraph" w:styleId="15">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1046</Words>
  <Characters>5966</Characters>
  <Lines>49</Lines>
  <Paragraphs>13</Paragraphs>
  <TotalTime>4</TotalTime>
  <ScaleCrop>false</ScaleCrop>
  <LinksUpToDate>false</LinksUpToDate>
  <CharactersWithSpaces>6999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2024-03-08T00:25:00Z</dcterms:created>
  <dc:creator>Administrator</dc:creator>
  <cp:lastModifiedBy>Administrator</cp:lastModifiedBy>
  <cp:lastPrinted>2024-04-01T06:05:00Z</cp:lastPrinted>
  <dcterms:modified xsi:type="dcterms:W3CDTF">2024-04-01T08:07:15Z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7A21A9137A9E4B9F90FF57CEC0FEB237_13</vt:lpwstr>
  </property>
</Properties>
</file>